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ANEXO </w:t>
      </w:r>
      <w:r w:rsidDel="00000000" w:rsidR="00000000" w:rsidRPr="00000000">
        <w:rPr>
          <w:sz w:val="28"/>
          <w:szCs w:val="28"/>
          <w:rtl w:val="0"/>
        </w:rPr>
        <w:t xml:space="preserve">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MODELO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24.0" w:type="dxa"/>
        <w:jc w:val="left"/>
        <w:tblInd w:w="-15.0" w:type="dxa"/>
        <w:tblLayout w:type="fixed"/>
        <w:tblLook w:val="0000"/>
      </w:tblPr>
      <w:tblGrid>
        <w:gridCol w:w="675"/>
        <w:gridCol w:w="6700"/>
        <w:gridCol w:w="857"/>
        <w:gridCol w:w="1392"/>
        <w:tblGridChange w:id="0">
          <w:tblGrid>
            <w:gridCol w:w="675"/>
            <w:gridCol w:w="6700"/>
            <w:gridCol w:w="857"/>
            <w:gridCol w:w="1392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PLANILHA DE CUSTOS E FORMAÇÃO DE PREÇOS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Item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Tipo de Serviço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Unidade de Medida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Quantidade a Contratar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spacing w:after="120" w:line="276" w:lineRule="auto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Avental De Soldador Material: Couro , Comprimento: 1,20 M, Largura: 0,60 M, Características Adicionais: Com Emenda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center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 – CUSTO DE AQUISIÇÃO DOS INSUMOS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spacing w:after="120" w:line="276" w:lineRule="auto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Avental De Soldador Material: Couro , Comprimento: 1,20 M, Largura: 0,60 M, Características Adicionais: Com Emenda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TOTAL - CUSTO DE AQUISIÇÃO DO MATERIAL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 – BONIFICAÇÃO E DESPESAS INDIRETAS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Lucro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XX%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R$ 0,00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Despesas Indiretas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Despesas Administrativas/Operacionais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XX%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R$ 0,00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Outras despesas (discriminar)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XX%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R$ 0,00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TOTAL - BONIFICAÇÃO E OUTRAS DESPESAS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XX%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R$ 0,00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III – TRIBUTAÇÃO SOBRE O FATURAMENTO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IR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XX%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R$ 0,00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CSLL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XX%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R$ 0,00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COFINS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XX%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R$ 0,00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PIS/PASEP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XX%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R$ 0,00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ISSQN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XX%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R$ 0,00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ICMS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XX%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R$ 0,00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INSS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XX%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R$ 0,00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Outros (discriminar)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TOTAL - TRIBUTAÇÃO SOBRE O FATURAMENTO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XX%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R$ 0,00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left w:color="000000" w:space="0" w:sz="4" w:val="single"/>
              <w:bottom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BRUTO UNITÁRIO (BRUTO-PROPOSTA)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55.0" w:type="dxa"/>
              <w:left w:w="55.0" w:type="dxa"/>
              <w:bottom w:w="55.0" w:type="dxa"/>
              <w:right w:w="55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R$ 1.477,20</w:t>
            </w:r>
          </w:p>
        </w:tc>
      </w:tr>
    </w:tbl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30.0" w:type="dxa"/>
        <w:jc w:val="left"/>
        <w:tblInd w:w="-14.0" w:type="dxa"/>
        <w:tblLayout w:type="fixed"/>
        <w:tblLook w:val="0000"/>
      </w:tblPr>
      <w:tblGrid>
        <w:gridCol w:w="9630"/>
        <w:tblGridChange w:id="0">
          <w:tblGrid>
            <w:gridCol w:w="9630"/>
          </w:tblGrid>
        </w:tblGridChange>
      </w:tblGrid>
      <w:tr>
        <w:trPr>
          <w:cantSplit w:val="0"/>
          <w:trHeight w:val="40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2cc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" w:right="0" w:firstLine="0"/>
              <w:jc w:val="left"/>
              <w:rPr>
                <w:rFonts w:ascii="Liberation Serif" w:cs="Liberation Serif" w:eastAsia="Liberation Serif" w:hAnsi="Liberation Serif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NOTA EXPLICATIVA: Modelo de Planilha de Custo e Formação de Preços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9" w:right="0" w:hanging="360"/>
              <w:jc w:val="left"/>
              <w:rPr>
                <w:rFonts w:ascii="Liberation Serif" w:cs="Liberation Serif" w:eastAsia="Liberation Serif" w:hAnsi="Liberation Serif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Este modelo é meramente exemplificativo. Fica à licitante a faculdade de adaptar este presente instrumento para adequar o preenchimento da composição dos preços, conforme peculiaridades de seu setor de mercado, estrutura tributária e custo de aquisição de insumos, bem como lucro a ser auferido e demais despesas a serem consideradas.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9" w:right="0" w:hanging="360"/>
              <w:jc w:val="left"/>
              <w:rPr/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Mesmo que o modelo seja a caráter exemplificativo, mantém-se como pré-requisitos essenciais a demonstração da exequibilidade da proposta o preenchimento dos três grupos básicos descritos: </w:t>
            </w: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(I – CUSTO DE AQUISIÇÃO DOS INSUMOS; II - BONIFICAÇÃO E OUTRAS DESPESAS; E III – TRIBUTAÇÃO SOBRE O FATURAMENTO)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9" w:right="0" w:hanging="360"/>
              <w:jc w:val="left"/>
              <w:rPr/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Para que o fique claro o correto preenchimento da planilha, </w:t>
            </w: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i w:val="1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 somatório dos 3 (três) grupos de composição de preço (I, II, III) deve ser igual ao valor do lance ofertado</w:t>
            </w: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i w:val="1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para o item analisado no referido documento.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9" w:right="0" w:hanging="360"/>
              <w:jc w:val="left"/>
              <w:rPr/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i w:val="1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PARA O ENVIO DA PLANILHA DE CUSTO NA CONVOCAÇÃO DE ANEXO DO SISTEMA, </w:t>
            </w: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i w:val="1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ESTA NOTA DEVERÁ SER SUPRIMIDA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 </w:t>
      </w:r>
    </w:p>
    <w:sectPr>
      <w:headerReference r:id="rId7" w:type="default"/>
      <w:pgSz w:h="16838" w:w="11906" w:orient="portrait"/>
      <w:pgMar w:bottom="1134" w:top="709" w:left="1134" w:right="1134" w:header="720" w:footer="720"/>
      <w:pgNumType w:start="212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Liberation Serif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8504"/>
      </w:tabs>
      <w:spacing w:after="0" w:before="0" w:line="240" w:lineRule="auto"/>
      <w:ind w:left="0" w:right="0" w:firstLine="0"/>
      <w:jc w:val="left"/>
      <w:rPr>
        <w:rFonts w:ascii="Liberation Serif" w:cs="Liberation Serif" w:eastAsia="Liberation Serif" w:hAnsi="Liberation Serif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Liberation Serif" w:cs="Liberation Serif" w:eastAsia="Liberation Serif" w:hAnsi="Liberation Serif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uppressAutoHyphens w:val="1"/>
    </w:p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Standard" w:customStyle="1">
    <w:name w:val="Standard"/>
    <w:pPr>
      <w:suppressAutoHyphens w:val="1"/>
    </w:pPr>
  </w:style>
  <w:style w:type="paragraph" w:styleId="Heading" w:customStyle="1">
    <w:name w:val="Heading"/>
    <w:basedOn w:val="Standard"/>
    <w:next w:val="Textbody"/>
    <w:pPr>
      <w:keepNext w:val="1"/>
      <w:spacing w:after="120" w:before="240"/>
    </w:pPr>
    <w:rPr>
      <w:rFonts w:ascii="Liberation Sans" w:hAnsi="Liberation Sans"/>
      <w:sz w:val="28"/>
      <w:szCs w:val="28"/>
    </w:rPr>
  </w:style>
  <w:style w:type="paragraph" w:styleId="Textbody" w:customStyle="1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 w:val="1"/>
      <w:spacing w:after="120" w:before="120"/>
    </w:pPr>
    <w:rPr>
      <w:i w:val="1"/>
      <w:iCs w:val="1"/>
    </w:rPr>
  </w:style>
  <w:style w:type="paragraph" w:styleId="Index" w:customStyle="1">
    <w:name w:val="Index"/>
    <w:basedOn w:val="Standard"/>
    <w:pPr>
      <w:suppressLineNumbers w:val="1"/>
    </w:pPr>
  </w:style>
  <w:style w:type="paragraph" w:styleId="PargrafodaLista">
    <w:name w:val="List Paragraph"/>
    <w:basedOn w:val="Standard"/>
    <w:pPr>
      <w:ind w:left="720"/>
    </w:pPr>
  </w:style>
  <w:style w:type="paragraph" w:styleId="TableContents" w:customStyle="1">
    <w:name w:val="Table Contents"/>
    <w:basedOn w:val="Standard"/>
    <w:pPr>
      <w:suppressLineNumbers w:val="1"/>
    </w:pPr>
  </w:style>
  <w:style w:type="paragraph" w:styleId="Standarduser" w:customStyle="1">
    <w:name w:val="Standard (user)"/>
    <w:pPr>
      <w:suppressAutoHyphens w:val="1"/>
      <w:spacing w:after="5"/>
      <w:ind w:left="10" w:right="707" w:hanging="10"/>
      <w:jc w:val="both"/>
    </w:pPr>
    <w:rPr>
      <w:rFonts w:ascii="Times New Roman" w:cs="Times New Roman" w:eastAsia="Times New Roman" w:hAnsi="Times New Roman"/>
      <w:color w:val="000000"/>
      <w:szCs w:val="22"/>
      <w:lang w:bidi="ar-SA" w:val="en-US"/>
    </w:rPr>
  </w:style>
  <w:style w:type="character" w:styleId="Refdecomentrio">
    <w:name w:val="annotation reference"/>
    <w:basedOn w:val="Fontepargpadro"/>
    <w:rPr>
      <w:sz w:val="16"/>
      <w:szCs w:val="16"/>
    </w:rPr>
  </w:style>
  <w:style w:type="paragraph" w:styleId="Textodecomentrio">
    <w:name w:val="annotation text"/>
    <w:basedOn w:val="Normal"/>
    <w:rPr>
      <w:rFonts w:cs="Mangal"/>
      <w:sz w:val="20"/>
      <w:szCs w:val="18"/>
    </w:rPr>
  </w:style>
  <w:style w:type="character" w:styleId="TextodecomentrioChar" w:customStyle="1">
    <w:name w:val="Texto de comentário Char"/>
    <w:basedOn w:val="Fontepargpadro"/>
    <w:rPr>
      <w:rFonts w:cs="Mangal"/>
      <w:sz w:val="20"/>
      <w:szCs w:val="18"/>
    </w:rPr>
  </w:style>
  <w:style w:type="paragraph" w:styleId="Assuntodocomentrio">
    <w:name w:val="annotation subject"/>
    <w:basedOn w:val="Textodecomentrio"/>
    <w:next w:val="Textodecomentrio"/>
    <w:rPr>
      <w:b w:val="1"/>
      <w:bCs w:val="1"/>
    </w:rPr>
  </w:style>
  <w:style w:type="character" w:styleId="AssuntodocomentrioChar" w:customStyle="1">
    <w:name w:val="Assunto do comentário Char"/>
    <w:basedOn w:val="TextodecomentrioChar"/>
    <w:rPr>
      <w:rFonts w:cs="Mangal"/>
      <w:b w:val="1"/>
      <w:bCs w:val="1"/>
      <w:sz w:val="20"/>
      <w:szCs w:val="18"/>
    </w:rPr>
  </w:style>
  <w:style w:type="paragraph" w:styleId="Textodebalo">
    <w:name w:val="Balloon Text"/>
    <w:basedOn w:val="Normal"/>
    <w:rPr>
      <w:rFonts w:ascii="Segoe UI" w:cs="Mangal" w:hAnsi="Segoe UI"/>
      <w:sz w:val="18"/>
      <w:szCs w:val="16"/>
    </w:rPr>
  </w:style>
  <w:style w:type="character" w:styleId="TextodebaloChar" w:customStyle="1">
    <w:name w:val="Texto de balão Char"/>
    <w:basedOn w:val="Fontepargpadro"/>
    <w:rPr>
      <w:rFonts w:ascii="Segoe UI" w:cs="Mangal" w:hAnsi="Segoe UI"/>
      <w:sz w:val="18"/>
      <w:szCs w:val="16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  <w:rPr>
      <w:rFonts w:cs="Mangal"/>
      <w:szCs w:val="21"/>
    </w:rPr>
  </w:style>
  <w:style w:type="character" w:styleId="CabealhoChar" w:customStyle="1">
    <w:name w:val="Cabeçalho Char"/>
    <w:basedOn w:val="Fontepargpadro"/>
    <w:rPr>
      <w:rFonts w:cs="Mangal"/>
      <w:szCs w:val="21"/>
    </w:rPr>
  </w:style>
  <w:style w:type="paragraph" w:styleId="Rodap">
    <w:name w:val="footer"/>
    <w:basedOn w:val="Normal"/>
    <w:pPr>
      <w:tabs>
        <w:tab w:val="center" w:pos="4252"/>
        <w:tab w:val="right" w:pos="8504"/>
      </w:tabs>
    </w:pPr>
    <w:rPr>
      <w:rFonts w:cs="Mangal"/>
      <w:szCs w:val="21"/>
    </w:rPr>
  </w:style>
  <w:style w:type="character" w:styleId="RodapChar" w:customStyle="1">
    <w:name w:val="Rodapé Char"/>
    <w:basedOn w:val="Fontepargpadro"/>
    <w:rPr>
      <w:rFonts w:cs="Mangal"/>
      <w:szCs w:val="2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iQ4CcDJd/PBr1TwAMV+/7Z4CGQ==">CgMxLjA4AHIhMXJUbl96VWdZVVNhQjhCZl9jR3VCbEd1c1dhaFhuaDU2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2023-05-30T17:00:00Z</dcterms:created>
</cp:coreProperties>
</file>